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Thádio Robledo</w:t>
      </w:r>
    </w:p>
    <w:p>
      <w:r>
        <w:rPr>
          <w:b w:val="0"/>
        </w:rPr>
        <w:t>Thádio Robledo Queiroz Oliveira</w:t>
      </w:r>
    </w:p>
    <w:p>
      <w:r>
        <w:rPr>
          <w:b/>
        </w:rPr>
        <w:t>Estratégia, FP&amp;A e transformação digital</w:t>
      </w:r>
    </w:p>
    <w:p>
      <w:r>
        <w:rPr>
          <w:b w:val="0"/>
        </w:rPr>
        <w:t>Brasília, Brasil  |  thadio_robledo@hotmail.com</w:t>
      </w:r>
    </w:p>
    <w:p>
      <w:hyperlink r:id="rId11">
        <w:r>
          <w:rPr>
            <w:color w:val="245C4D"/>
            <w:u w:val="single"/>
          </w:rPr>
          <w:t>LinkedIn</w:t>
        </w:r>
      </w:hyperlink>
      <w:r>
        <w:t xml:space="preserve">  ·  </w:t>
      </w:r>
      <w:hyperlink r:id="rId12">
        <w:r>
          <w:rPr>
            <w:color w:val="245C4D"/>
            <w:u w:val="single"/>
          </w:rPr>
          <w:t>Portfólio online</w:t>
        </w:r>
      </w:hyperlink>
    </w:p>
    <w:p>
      <w:r>
        <w:rPr>
          <w:b w:val="0"/>
        </w:rPr>
        <w:t>Atualizado em 7 de outubro de 2026</w:t>
      </w:r>
    </w:p>
    <w:p>
      <w:pPr>
        <w:pStyle w:val="Heading2"/>
      </w:pPr>
      <w:r>
        <w:t>Perfil profissional</w:t>
      </w:r>
    </w:p>
    <w:p>
      <w:r>
        <w:rPr>
          <w:b w:val="0"/>
        </w:rPr>
        <w:t>Executivo e profissional multidisciplinar com trajetória desde 2007 em instituições financeiras, estratégia corporativa, FP&amp;A, riscos, gestão pública e transformação digital. Conecto a análise que orienta a decisão à arquitetura, aos processos e aos sistemas que tornam a execução possível.</w:t>
      </w:r>
    </w:p>
    <w:p>
      <w:r>
        <w:rPr>
          <w:b w:val="0"/>
        </w:rPr>
        <w:t>Minha trajetória começou na operação: atendimento, tesouraria e relacionamento empresarial. No Itaú e na CAIXA, construí uma base prática em crédito, investimentos, fluxo de caixa, captação e gestão de clientes.</w:t>
      </w:r>
    </w:p>
    <w:p>
      <w:r>
        <w:rPr>
          <w:b w:val="0"/>
        </w:rPr>
        <w:t>Na CAIXA, avancei para inteligência, Presidência, Diretoria de Riscos e gerências executivas de estratégia. Trabalhei na formulação dos ciclos estratégicos do conglomerado, no acompanhamento da execução, na análise de desempenho e no benchmarking de concorrentes bancários.</w:t>
      </w:r>
    </w:p>
    <w:p>
      <w:r>
        <w:rPr>
          <w:b w:val="0"/>
        </w:rPr>
        <w:t>Desde outubro de 2025, atuo no Ministério do Trabalho e Emprego, mantendo meu vínculo com a CAIXA, em projetos de modernização da gestão de pessoas: processos, dados, controles financeiros, sistemas e automações.</w:t>
      </w:r>
    </w:p>
    <w:p>
      <w:r>
        <w:rPr>
          <w:b w:val="0"/>
        </w:rPr>
        <w:t>A transformação digital é uma competência de ponta a ponta: do diagnóstico e desenho de negócio à modelagem de dados, desenvolvimento e implantação. Essa prática também aparece em projetos autorais e no ecossistema do Retrato Brechó.</w:t>
      </w:r>
    </w:p>
    <w:p>
      <w:pPr>
        <w:pStyle w:val="Heading2"/>
      </w:pPr>
      <w:r>
        <w:t>Competências centrais</w:t>
      </w:r>
    </w:p>
    <w:p>
      <w:r>
        <w:rPr>
          <w:b w:val="0"/>
        </w:rPr>
        <w:t>Estratégia e inteligência · Riscos, controles e governança · Transformação digital e tecnologia · Gestão pública e pessoas · Finanças e mercado bancário · Projetos, processos e inovação · Dados, análise e comunicação executiva · Liderança e articulação</w:t>
      </w:r>
    </w:p>
    <w:p>
      <w:r>
        <w:br w:type="page"/>
      </w:r>
    </w:p>
    <w:p>
      <w:pPr>
        <w:pStyle w:val="Heading1"/>
      </w:pPr>
      <w:r>
        <w:t>Estratégia e transformação institucional</w:t>
      </w:r>
    </w:p>
    <w:p>
      <w:pPr>
        <w:pStyle w:val="Heading2"/>
      </w:pPr>
      <w:r>
        <w:t>Ministério do Trabalho e Emprego</w:t>
      </w:r>
    </w:p>
    <w:p>
      <w:r>
        <w:rPr>
          <w:b/>
        </w:rPr>
        <w:t>OUT 2025 — ATUAL  |  Transformação digital, processos e operações financeiras</w:t>
      </w:r>
    </w:p>
    <w:p>
      <w:r>
        <w:rPr>
          <w:b w:val="0"/>
        </w:rPr>
        <w:t>Modernização da gestão de pessoas com sistemas, automação, qualidade de dados e controles. Em exercício na DGP/CGPAG, mantendo vínculo com a CAIXA.</w:t>
      </w:r>
    </w:p>
    <w:p>
      <w:pPr>
        <w:pStyle w:val="ListBullet"/>
      </w:pPr>
      <w:r>
        <w:t>Implantação de sistema para apoiar a nomeação e posse de mais de 800 Auditores-Fiscais do Trabalho, utilizado por aproximadamente 60 pessoas.</w:t>
      </w:r>
    </w:p>
    <w:p>
      <w:pPr>
        <w:pStyle w:val="ListBullet"/>
      </w:pPr>
      <w:r>
        <w:t>Desenvolvimento e implantação da aplicação de Certidão de Disponibilidade Orçamentária e da primeira automação de ressarcimento de pessoal.</w:t>
      </w:r>
    </w:p>
    <w:p>
      <w:pPr>
        <w:pStyle w:val="ListBullet"/>
      </w:pPr>
      <w:r>
        <w:t>Modelagem de regras financeiras, requisitos e fluxos para folha, reembolsos, aposentadorias, documentos e comunicação.</w:t>
      </w:r>
    </w:p>
    <w:p>
      <w:pPr>
        <w:pStyle w:val="ListBullet"/>
      </w:pPr>
      <w:r>
        <w:t>Gerência do projeto de apoio à Política de Gestão de Pessoas e articulação entre dirigentes, equipes técnicas e unidades descentralizadas.</w:t>
      </w:r>
    </w:p>
    <w:p>
      <w:pPr>
        <w:pStyle w:val="ListBullet"/>
      </w:pPr>
      <w:r>
        <w:t>Em 2026: posse digital, necessidades de desenvolvimento PDP 2027 e organização de atividades e competências.</w:t>
      </w:r>
    </w:p>
    <w:p>
      <w:pPr>
        <w:pStyle w:val="Heading2"/>
      </w:pPr>
      <w:r>
        <w:t>CAIXA Econômica Federal</w:t>
      </w:r>
    </w:p>
    <w:p>
      <w:r>
        <w:rPr>
          <w:b/>
        </w:rPr>
        <w:t>OUT 2013 — ATUAL  |  Gerência executiva de estratégia, inteligência e riscos</w:t>
      </w:r>
    </w:p>
    <w:p>
      <w:r>
        <w:rPr>
          <w:b w:val="0"/>
        </w:rPr>
        <w:t>Da operação bancária à estratégia do conglomerado. Funções executivas entre 2020 e 2025; desde outubro de 2025, cedido ao MTE.</w:t>
      </w:r>
    </w:p>
    <w:p>
      <w:pPr>
        <w:pStyle w:val="ListBullet"/>
      </w:pPr>
      <w:r>
        <w:t>Responsável por analisar e monitorar a estratégia e a execução da CAIXA e dos concorrentes bancários, aplicando disciplinas de FP&amp;A à análise de desempenho, metas e desvios.</w:t>
      </w:r>
    </w:p>
    <w:p>
      <w:pPr>
        <w:pStyle w:val="ListBullet"/>
      </w:pPr>
      <w:r>
        <w:t>Liderança e coordenação dos ciclos PEI 2023–2027, PEI 2023–2028 e do Plano de Negócios e Implementação 2023.</w:t>
      </w:r>
    </w:p>
    <w:p>
      <w:pPr>
        <w:pStyle w:val="ListBullet"/>
      </w:pPr>
      <w:r>
        <w:t>Estruturação do Desempenho da Estratégia Corporativa: acompanhamento trimestral, indicadores, narrativa de performance e articulação com Conselho de Administração, diretoria e comitês.</w:t>
      </w:r>
    </w:p>
    <w:p>
      <w:pPr>
        <w:pStyle w:val="ListBullet"/>
      </w:pPr>
      <w:r>
        <w:t>Na Diretoria de Riscos: apoio a apetite a risco, ICAAP, capital, ratings, dados e interlocução técnica com o Banco Central.</w:t>
      </w:r>
    </w:p>
    <w:p>
      <w:pPr>
        <w:pStyle w:val="ListBullet"/>
      </w:pPr>
      <w:r>
        <w:t>Participação em iniciativas de banco digital, agências digitais, negócios B2B, blockchain e no piloto da rede de atacado em Goiás.</w:t>
      </w:r>
    </w:p>
    <w:p>
      <w:r>
        <w:br w:type="page"/>
      </w:r>
    </w:p>
    <w:p>
      <w:pPr>
        <w:pStyle w:val="Heading1"/>
      </w:pPr>
      <w:r>
        <w:t>Atuações anteriores em negócios bancários</w:t>
      </w:r>
    </w:p>
    <w:p>
      <w:r>
        <w:rPr>
          <w:b w:val="0"/>
        </w:rPr>
        <w:t>Minha experiência em negócios bancários e relacionamento com empresas foi construída tanto na CAIXA quanto no Itaú Unibanco. Na CAIXA, antes das posições executivas, atuei em negócios, canais digitais, B2B e no piloto da rede de atacado em Goiás. No Itaú, fui Gerente de Relacionamento com Empresas de fevereiro de 2011 a outubro de 2013, com análise de crédito, investimentos, fluxo de caixa e soluções de gestão de caixa, além de funções anteriores em tesouraria e operações.</w:t>
      </w:r>
    </w:p>
    <w:p>
      <w:pPr>
        <w:pStyle w:val="Heading2"/>
      </w:pPr>
      <w:r>
        <w:t>Itaú Unibanco</w:t>
      </w:r>
    </w:p>
    <w:p>
      <w:r>
        <w:rPr>
          <w:b/>
        </w:rPr>
        <w:t>AGO 2008 — OUT 2013  |  Relacionamento empresarial, tesouraria e operações</w:t>
      </w:r>
    </w:p>
    <w:p>
      <w:r>
        <w:rPr>
          <w:b w:val="0"/>
        </w:rPr>
        <w:t>Base prática em análise financeira de clientes, crédito, fluxo de caixa, investimentos, cash management e controles de tesouraria.</w:t>
      </w:r>
    </w:p>
    <w:p>
      <w:pPr>
        <w:pStyle w:val="ListBullet"/>
      </w:pPr>
      <w:r>
        <w:t>Gerente de Relacionamento Empresarial de fevereiro de 2011 a outubro de 2013; atuação anterior em atendimento, caixa, tesouraria e aquisição de negócios.</w:t>
      </w:r>
    </w:p>
    <w:p>
      <w:pPr>
        <w:pStyle w:val="ListBullet"/>
      </w:pPr>
      <w:r>
        <w:t>Análise de necessidades de empresas e estruturação de soluções de crédito, investimentos, seguros, previdência e gestão de caixa.</w:t>
      </w:r>
    </w:p>
    <w:p>
      <w:pPr>
        <w:pStyle w:val="ListBullet"/>
      </w:pPr>
      <w:r>
        <w:t>Desempenho comercial registrado nos currículos como 59% acima da média nacional.</w:t>
      </w:r>
    </w:p>
    <w:p>
      <w:pPr>
        <w:pStyle w:val="ListBullet"/>
      </w:pPr>
      <w:r>
        <w:t>Responsabilidade simultânea por duas tesourarias, em substituição, durante a integração Itaú–Unibanco.</w:t>
      </w:r>
    </w:p>
    <w:p>
      <w:pPr>
        <w:pStyle w:val="Heading2"/>
      </w:pPr>
      <w:r>
        <w:t>AIESEC · Goiânia</w:t>
      </w:r>
    </w:p>
    <w:p>
      <w:r>
        <w:rPr>
          <w:b/>
        </w:rPr>
        <w:t>2008–2009 · 2011–2012  |  Finanças / FP&amp;A e liderança de intercâmbio · voluntariado</w:t>
      </w:r>
    </w:p>
    <w:p>
      <w:r>
        <w:rPr>
          <w:b w:val="0"/>
        </w:rPr>
        <w:t>Planejamento financeiro e gestão de equipes em um contexto de propósito e colaboração internacional.</w:t>
      </w:r>
    </w:p>
    <w:p>
      <w:pPr>
        <w:pStyle w:val="Heading2"/>
      </w:pPr>
      <w:r>
        <w:t>Primeiros passos e educação financeira</w:t>
      </w:r>
    </w:p>
    <w:p>
      <w:r>
        <w:rPr>
          <w:b/>
        </w:rPr>
        <w:t>2007–2008 · 2011  |  Clécio’s Broker · Santana · Junior Achievement</w:t>
      </w:r>
    </w:p>
    <w:p>
      <w:r>
        <w:rPr>
          <w:b w:val="0"/>
        </w:rPr>
        <w:t>Administração, compras, vendas, estoque, tesouraria e ensino voluntário de economia pessoal.</w:t>
      </w:r>
    </w:p>
    <w:p>
      <w:r>
        <w:br w:type="page"/>
      </w:r>
    </w:p>
    <w:p>
      <w:pPr>
        <w:pStyle w:val="Heading1"/>
      </w:pPr>
      <w:r>
        <w:t>Escala das instituições financeiras</w:t>
      </w:r>
    </w:p>
    <w:p>
      <w:pPr>
        <w:pStyle w:val="Heading2"/>
      </w:pPr>
      <w:r>
        <w:t>CAIXA Econômica Federal</w:t>
      </w:r>
    </w:p>
    <w:p>
      <w:r>
        <w:rPr>
          <w:b w:val="0"/>
        </w:rPr>
        <w:t>Banco estatal · mais de 80 mil funcionários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72"/>
        <w:gridCol w:w="4608"/>
      </w:tblGrid>
      <w:tr>
        <w:trPr>
          <w:tblHeader/>
        </w:trPr>
        <w:tc>
          <w:tcPr>
            <w:tcW w:type="dxa" w:w="5472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sz w:val="20"/>
              </w:rPr>
              <w:t>Indicador</w:t>
            </w:r>
          </w:p>
        </w:tc>
        <w:tc>
          <w:tcPr>
            <w:tcW w:type="dxa" w:w="4608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sz w:val="20"/>
              </w:rPr>
              <w:t>Valor</w:t>
            </w:r>
          </w:p>
        </w:tc>
      </w:tr>
      <w:tr>
        <w:tc>
          <w:tcPr>
            <w:tcW w:type="dxa" w:w="5472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Ativos totais</w:t>
            </w:r>
          </w:p>
        </w:tc>
        <w:tc>
          <w:tcPr>
            <w:tcW w:type="dxa" w:w="4608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R$ 2,4 trilhões</w:t>
            </w:r>
          </w:p>
        </w:tc>
      </w:tr>
      <w:tr>
        <w:tc>
          <w:tcPr>
            <w:tcW w:type="dxa" w:w="5472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Carteira de crédito total</w:t>
            </w:r>
          </w:p>
        </w:tc>
        <w:tc>
          <w:tcPr>
            <w:tcW w:type="dxa" w:w="4608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R$ 1,448 trilhão</w:t>
            </w:r>
          </w:p>
        </w:tc>
      </w:tr>
      <w:tr>
        <w:tc>
          <w:tcPr>
            <w:tcW w:type="dxa" w:w="5472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Carteira de crédito imobiliário</w:t>
            </w:r>
          </w:p>
        </w:tc>
        <w:tc>
          <w:tcPr>
            <w:tcW w:type="dxa" w:w="4608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R$ 1,005 trilhão</w:t>
            </w:r>
          </w:p>
        </w:tc>
      </w:tr>
      <w:tr>
        <w:tc>
          <w:tcPr>
            <w:tcW w:type="dxa" w:w="5472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Carteira de finanças sustentáveis</w:t>
            </w:r>
          </w:p>
        </w:tc>
        <w:tc>
          <w:tcPr>
            <w:tcW w:type="dxa" w:w="4608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R$ 913,6 bilhões</w:t>
            </w:r>
          </w:p>
        </w:tc>
      </w:tr>
      <w:tr>
        <w:tc>
          <w:tcPr>
            <w:tcW w:type="dxa" w:w="5472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Clientes</w:t>
            </w:r>
          </w:p>
        </w:tc>
        <w:tc>
          <w:tcPr>
            <w:tcW w:type="dxa" w:w="4608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160,4 milhões</w:t>
            </w:r>
          </w:p>
        </w:tc>
      </w:tr>
    </w:tbl>
    <w:p>
      <w:pPr>
        <w:spacing w:before="120"/>
      </w:pPr>
      <w:r>
        <w:rPr>
          <w:b w:val="0"/>
        </w:rPr>
        <w:t xml:space="preserve">Junho de 2026  ·  </w:t>
      </w:r>
      <w:hyperlink r:id="rId13">
        <w:r>
          <w:rPr>
            <w:color w:val="245C4D"/>
            <w:u w:val="single"/>
          </w:rPr>
          <w:t>Fonte institucional</w:t>
        </w:r>
      </w:hyperlink>
    </w:p>
    <w:p>
      <w:r>
        <w:rPr>
          <w:b w:val="0"/>
        </w:rPr>
        <w:t>Escala institucional em junho de 2026; base de clientes no primeiro semestre. Indicadores do banco, não ativos ou orçamentos sob responsabilidade pessoal.</w:t>
      </w:r>
    </w:p>
    <w:p>
      <w:pPr>
        <w:pStyle w:val="Heading2"/>
      </w:pPr>
      <w:r>
        <w:t>Itaú Unibanco</w:t>
      </w:r>
    </w:p>
    <w:p>
      <w:r>
        <w:rPr>
          <w:b w:val="0"/>
        </w:rPr>
        <w:t>90.429 funcionários · 80.657 no Brasil · 9.772 no exterior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72"/>
        <w:gridCol w:w="4608"/>
      </w:tblGrid>
      <w:tr>
        <w:trPr>
          <w:tblHeader/>
        </w:trPr>
        <w:tc>
          <w:tcPr>
            <w:tcW w:type="dxa" w:w="5472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sz w:val="20"/>
              </w:rPr>
              <w:t>Indicador</w:t>
            </w:r>
          </w:p>
        </w:tc>
        <w:tc>
          <w:tcPr>
            <w:tcW w:type="dxa" w:w="4608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b/>
                <w:sz w:val="20"/>
              </w:rPr>
              <w:t>Valor</w:t>
            </w:r>
          </w:p>
        </w:tc>
      </w:tr>
      <w:tr>
        <w:tc>
          <w:tcPr>
            <w:tcW w:type="dxa" w:w="5472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Ativos totais · R$ 3.226.840 milhões</w:t>
            </w:r>
          </w:p>
        </w:tc>
        <w:tc>
          <w:tcPr>
            <w:tcW w:type="dxa" w:w="4608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R$ 3,22684 trilhões</w:t>
            </w:r>
          </w:p>
        </w:tc>
      </w:tr>
      <w:tr>
        <w:tc>
          <w:tcPr>
            <w:tcW w:type="dxa" w:w="5472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Crédito total · R$ 1.522.385 milhões</w:t>
            </w:r>
          </w:p>
        </w:tc>
        <w:tc>
          <w:tcPr>
            <w:tcW w:type="dxa" w:w="4608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R$ 1,522385 trilhão</w:t>
            </w:r>
          </w:p>
        </w:tc>
      </w:tr>
      <w:tr>
        <w:tc>
          <w:tcPr>
            <w:tcW w:type="dxa" w:w="5472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Funcionários no total</w:t>
            </w:r>
          </w:p>
        </w:tc>
        <w:tc>
          <w:tcPr>
            <w:tcW w:type="dxa" w:w="4608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90.429</w:t>
            </w:r>
          </w:p>
        </w:tc>
      </w:tr>
      <w:tr>
        <w:tc>
          <w:tcPr>
            <w:tcW w:type="dxa" w:w="5472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Funcionários no Brasil</w:t>
            </w:r>
          </w:p>
        </w:tc>
        <w:tc>
          <w:tcPr>
            <w:tcW w:type="dxa" w:w="4608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80.657</w:t>
            </w:r>
          </w:p>
        </w:tc>
      </w:tr>
      <w:tr>
        <w:tc>
          <w:tcPr>
            <w:tcW w:type="dxa" w:w="5472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Funcionários no exterior</w:t>
            </w:r>
          </w:p>
        </w:tc>
        <w:tc>
          <w:tcPr>
            <w:tcW w:type="dxa" w:w="4608"/>
            <w:tcBorders>
              <w:top w:val="single" w:sz="4" w:color="D5DCD8"/>
              <w:left w:val="single" w:sz="4" w:color="D5DCD8"/>
              <w:bottom w:val="single" w:sz="4" w:color="D5DCD8"/>
              <w:right w:val="single" w:sz="4" w:color="D5DCD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/>
            </w:pPr>
            <w:r>
              <w:rPr>
                <w:sz w:val="20"/>
              </w:rPr>
              <w:t>9.772</w:t>
            </w:r>
          </w:p>
        </w:tc>
      </w:tr>
    </w:tbl>
    <w:p>
      <w:pPr>
        <w:spacing w:before="120"/>
      </w:pPr>
      <w:r>
        <w:rPr>
          <w:b w:val="0"/>
        </w:rPr>
        <w:t xml:space="preserve">30 de junho de 2026  ·  </w:t>
      </w:r>
      <w:hyperlink r:id="rId14">
        <w:r>
          <w:rPr>
            <w:color w:val="245C4D"/>
            <w:u w:val="single"/>
          </w:rPr>
          <w:t>Fonte institucional</w:t>
        </w:r>
      </w:hyperlink>
    </w:p>
    <w:p>
      <w:r>
        <w:rPr>
          <w:b w:val="0"/>
        </w:rPr>
        <w:t>Crédito total inclui garantias financeiras prestadas e títulos privados. Fact sheet do 2T26: escala atual, posterior ao período de atuação. Resultado histórico de vendas de +59% declarado no currículo.</w:t>
      </w:r>
    </w:p>
    <w:p>
      <w:r>
        <w:br w:type="page"/>
      </w:r>
    </w:p>
    <w:p>
      <w:pPr>
        <w:pStyle w:val="Heading1"/>
      </w:pPr>
      <w:r>
        <w:t>Liderar a estratégia em escala corporativa</w:t>
      </w:r>
    </w:p>
    <w:p>
      <w:r>
        <w:rPr>
          <w:b w:val="0"/>
        </w:rPr>
        <w:t>A realização de que mais me orgulho foi liderar os ciclos de planejamento estratégico 2023–2027 e 2023–2028 da CAIXA Econômica Federal, uma das maiores instituições financeiras do Brasil.</w:t>
      </w:r>
    </w:p>
    <w:p>
      <w:r>
        <w:rPr>
          <w:b w:val="0"/>
        </w:rPr>
        <w:t>Fui responsável por conduzir o planejamento com múltiplas equipes multidisciplinares e envolver partes interessadas de todo o banco na formulação da estratégia e no monitoramento da execução. Isso significou traduzir as ambições de uma instituição que atende mais de 150 milhões de clientes em objetivos financeiros e estratégicos, KPIs, iniciativas, prioridades de investimento e um modelo de governança capaz de orientar a execução.</w:t>
      </w:r>
    </w:p>
    <w:p>
      <w:r>
        <w:rPr>
          <w:b w:val="0"/>
        </w:rPr>
        <w:t>Uma parte importante da minha atuação foi, na prática, FP&amp;A em escala corporativa. Conectei o planejamento estratégico ao desempenho financeiro e operacional, acompanhei o planejado versus o realizado, analisei desvios e fatores de desempenho, comparei a CAIXA com seus concorrentes bancários, construí cenários e traduzi essas análises em recomendações para a alta administração e os órgãos de governança.</w:t>
      </w:r>
    </w:p>
    <w:p>
      <w:r>
        <w:rPr>
          <w:b w:val="0"/>
        </w:rPr>
        <w:t>A transformação digital estava no centro da estratégia. Planejávamos como uma instituição financeira de grande porte poderia se tornar mais digital, eficiente, orientada por dados e centrada no cliente, preservando sua solidez financeira e presença nacional.</w:t>
      </w:r>
    </w:p>
    <w:p>
      <w:r>
        <w:rPr>
          <w:b w:val="0"/>
        </w:rPr>
        <w:t>A escala dos resultados ilustra o ambiente em que essa estratégia foi executada. A carteira de crédito da CAIXA cresceu de aproximadamente R$ 1,12 trilhão ao final de 2023 para R$ 1,38 trilhão em 2025, enquanto o lucro líquido recorrente passou de R$ 10,6 bilhões para o recorde de R$ 15,5 bilhões.</w:t>
      </w:r>
    </w:p>
    <w:p>
      <w:r>
        <w:rPr>
          <w:b w:val="0"/>
        </w:rPr>
        <w:t>Somente em 2024, o banco reduziu os atendimentos físicos em 8,9 milhões, enquanto as transações digitais cresceram 40,7% em relação ao ano anterior, acompanhadas de melhorias no engajamento e na satisfação dos clientes.</w:t>
      </w:r>
    </w:p>
    <w:p>
      <w:r>
        <w:rPr>
          <w:b w:val="0"/>
        </w:rPr>
        <w:t>O que mais me orgulha não é uma métrica financeira isolada. É ter liderado um processo de planejamento capaz de mobilizar uma organização enorme e complexa em torno de uma direção comum e construir a disciplina de FP&amp;A e governança necessária para testar continuamente se a estratégia estava se traduzindo em resultados.</w:t>
      </w:r>
    </w:p>
    <w:p>
      <w:r>
        <w:rPr>
          <w:b/>
        </w:rPr>
        <w:t>Essa experiência moldou minha abordagem de finanças estratégicas: a estratégia só tem valor quando pode ser traduzida em modelos financeiros, fatores operacionais mensuráveis, decisões de alocação de recursos e execução disciplinada.</w:t>
      </w:r>
    </w:p>
    <w:p>
      <w:r>
        <w:t xml:space="preserve">Fontes: </w:t>
      </w:r>
      <w:hyperlink r:id="rId15">
        <w:r>
          <w:rPr>
            <w:color w:val="245C4D"/>
            <w:u w:val="single"/>
          </w:rPr>
          <w:t>CAIXA 2023</w:t>
        </w:r>
      </w:hyperlink>
      <w:r>
        <w:t xml:space="preserve">  ·  </w:t>
      </w:r>
      <w:hyperlink r:id="rId16">
        <w:r>
          <w:rPr>
            <w:color w:val="245C4D"/>
            <w:u w:val="single"/>
          </w:rPr>
          <w:t>CAIXA 2024</w:t>
        </w:r>
      </w:hyperlink>
      <w:r>
        <w:t xml:space="preserve">  ·  </w:t>
      </w:r>
      <w:hyperlink r:id="rId17">
        <w:r>
          <w:rPr>
            <w:color w:val="245C4D"/>
            <w:u w:val="single"/>
          </w:rPr>
          <w:t>CAIXA 2025</w:t>
        </w:r>
      </w:hyperlink>
    </w:p>
    <w:p>
      <w:r>
        <w:br w:type="page"/>
      </w:r>
    </w:p>
    <w:p>
      <w:pPr>
        <w:pStyle w:val="Heading1"/>
      </w:pPr>
      <w:r>
        <w:t>Formação e idiomas</w:t>
      </w:r>
    </w:p>
    <w:p>
      <w:pPr>
        <w:pStyle w:val="Heading2"/>
        <w:spacing w:after="80" w:before="140" w:line="240" w:lineRule="auto"/>
      </w:pPr>
      <w:r>
        <w:rPr>
          <w:sz w:val="24"/>
        </w:rPr>
        <w:t>Universidade de Brasília</w:t>
      </w:r>
    </w:p>
    <w:p>
      <w:pPr>
        <w:spacing w:after="80" w:before="0" w:line="240" w:lineRule="auto"/>
      </w:pPr>
      <w:r>
        <w:rPr>
          <w:b/>
        </w:rPr>
        <w:t>Mestrado Profissional em Economia  |  2026–2028  |  Em andamento · conclusão prevista</w:t>
      </w:r>
    </w:p>
    <w:p>
      <w:pPr>
        <w:spacing w:after="80" w:before="0" w:line="240" w:lineRule="auto"/>
      </w:pPr>
      <w:r>
        <w:rPr>
          <w:b w:val="0"/>
        </w:rPr>
        <w:t>Concentração em Gestão Econômica da Inovação Tecnológica; foco na economia digital. Programa previsto para dois anos.</w:t>
      </w:r>
    </w:p>
    <w:p>
      <w:pPr>
        <w:pStyle w:val="Heading2"/>
        <w:spacing w:after="80" w:before="140" w:line="240" w:lineRule="auto"/>
      </w:pPr>
      <w:r>
        <w:rPr>
          <w:sz w:val="24"/>
        </w:rPr>
        <w:t>Faculdade de Tecnologia e Inovação Senac-DF</w:t>
      </w:r>
    </w:p>
    <w:p>
      <w:pPr>
        <w:spacing w:after="80" w:before="0" w:line="240" w:lineRule="auto"/>
      </w:pPr>
      <w:r>
        <w:rPr>
          <w:b/>
        </w:rPr>
        <w:t>Graduação em Análise e Desenvolvimento de Sistemas  |  2024–2026  |  Concluída · segunda graduação</w:t>
      </w:r>
    </w:p>
    <w:p>
      <w:pPr>
        <w:spacing w:after="80" w:before="0" w:line="240" w:lineRule="auto"/>
      </w:pPr>
      <w:r>
        <w:rPr>
          <w:b w:val="0"/>
        </w:rPr>
        <w:t>2.000 horas. Desenvolvimento de software, bancos de dados, computação em nuvem, qualidade e governança de TI.</w:t>
      </w:r>
    </w:p>
    <w:p>
      <w:pPr>
        <w:pStyle w:val="Heading2"/>
        <w:spacing w:after="80" w:before="140" w:line="240" w:lineRule="auto"/>
      </w:pPr>
      <w:r>
        <w:rPr>
          <w:sz w:val="24"/>
        </w:rPr>
        <w:t>FIA Business School</w:t>
      </w:r>
    </w:p>
    <w:p>
      <w:pPr>
        <w:spacing w:after="80" w:before="0" w:line="240" w:lineRule="auto"/>
      </w:pPr>
      <w:r>
        <w:rPr>
          <w:b/>
        </w:rPr>
        <w:t>Especialização em Tech Strategy  |  2023–2025  |  Concluída</w:t>
      </w:r>
    </w:p>
    <w:p>
      <w:pPr>
        <w:spacing w:after="80" w:before="0" w:line="240" w:lineRule="auto"/>
      </w:pPr>
      <w:r>
        <w:rPr>
          <w:b w:val="0"/>
        </w:rPr>
        <w:t>Planejamento, Gestão e Arquitetura Tecnológica de Negócios. 360 horas. Trabalho final em arquitetura empresarial, TOGAF e inteligência de dados; conceito A.</w:t>
      </w:r>
    </w:p>
    <w:p>
      <w:pPr>
        <w:pStyle w:val="Heading2"/>
        <w:spacing w:after="80" w:before="140" w:line="240" w:lineRule="auto"/>
      </w:pPr>
      <w:r>
        <w:rPr>
          <w:sz w:val="24"/>
        </w:rPr>
        <w:t>Pontifícia Universidade Católica do Rio Grande do Sul</w:t>
      </w:r>
    </w:p>
    <w:p>
      <w:pPr>
        <w:spacing w:after="80" w:before="0" w:line="240" w:lineRule="auto"/>
      </w:pPr>
      <w:r>
        <w:rPr>
          <w:b/>
        </w:rPr>
        <w:t>Especialização em Finanças Corporativas, M&amp;A e Equity  |  2021–2023  |  Concluída</w:t>
      </w:r>
    </w:p>
    <w:p>
      <w:pPr>
        <w:spacing w:after="80" w:before="0" w:line="240" w:lineRule="auto"/>
      </w:pPr>
      <w:r>
        <w:rPr>
          <w:b w:val="0"/>
        </w:rPr>
        <w:t>364 horas. Projeto final StartHub: modelo associado a equity crowdfunding e estruturação financeira.</w:t>
      </w:r>
    </w:p>
    <w:p>
      <w:pPr>
        <w:pStyle w:val="Heading2"/>
        <w:spacing w:after="80" w:before="140" w:line="240" w:lineRule="auto"/>
      </w:pPr>
      <w:r>
        <w:rPr>
          <w:sz w:val="24"/>
        </w:rPr>
        <w:t>Universidade Federal de Goiás</w:t>
      </w:r>
    </w:p>
    <w:p>
      <w:pPr>
        <w:spacing w:after="80" w:before="0" w:line="240" w:lineRule="auto"/>
      </w:pPr>
      <w:r>
        <w:rPr>
          <w:b/>
        </w:rPr>
        <w:t>Mestrado Profissional em Administração Pública · PROFIAP  |  2014–2016  |  Concluído</w:t>
      </w:r>
    </w:p>
    <w:p>
      <w:pPr>
        <w:spacing w:after="80" w:before="0" w:line="240" w:lineRule="auto"/>
      </w:pPr>
      <w:r>
        <w:rPr>
          <w:b w:val="0"/>
        </w:rPr>
        <w:t>600 horas. Conclusão em dezembro de 2016. Formação em gestão, políticas e organizações públicas.</w:t>
      </w:r>
    </w:p>
    <w:p>
      <w:pPr>
        <w:spacing w:after="80" w:before="0" w:line="240" w:lineRule="auto"/>
      </w:pPr>
      <w:r>
        <w:rPr>
          <w:b/>
        </w:rPr>
        <w:t>Especialização em Mercado Financeiro e Investimentos  |  2011–2012  |  Concluída</w:t>
      </w:r>
    </w:p>
    <w:p>
      <w:pPr>
        <w:spacing w:after="80" w:before="0" w:line="240" w:lineRule="auto"/>
      </w:pPr>
      <w:r>
        <w:rPr>
          <w:b w:val="0"/>
        </w:rPr>
        <w:t>375 horas. Base acadêmica em finanças, mercados e decisões de investimento, aplicada à experiência em banco e FP&amp;A. Monografia sobre mudanças no rendimento da poupança e sua atratividade.</w:t>
      </w:r>
    </w:p>
    <w:p>
      <w:pPr>
        <w:spacing w:after="80" w:before="0" w:line="240" w:lineRule="auto"/>
      </w:pPr>
      <w:r>
        <w:rPr>
          <w:b/>
        </w:rPr>
        <w:t>Bacharelado em Administração  |  2007–2011  |  Concluído</w:t>
      </w:r>
    </w:p>
    <w:p>
      <w:pPr>
        <w:spacing w:after="80" w:before="0" w:line="240" w:lineRule="auto"/>
      </w:pPr>
      <w:r>
        <w:rPr>
          <w:b w:val="0"/>
        </w:rPr>
        <w:t>3.117 horas. Trabalho final sobre satisfação de clientes bancários antes e após a fusão Itaú–Unibanco.</w:t>
      </w:r>
    </w:p>
    <w:p>
      <w:pPr>
        <w:pStyle w:val="Heading2"/>
        <w:spacing w:after="80" w:before="140" w:line="240" w:lineRule="auto"/>
      </w:pPr>
      <w:r>
        <w:rPr>
          <w:sz w:val="24"/>
        </w:rPr>
        <w:t>Centro Federal de Educação Tecnológica de Goiás (CEFET-GO)</w:t>
      </w:r>
    </w:p>
    <w:p>
      <w:pPr>
        <w:spacing w:after="80" w:before="0" w:line="240" w:lineRule="auto"/>
      </w:pPr>
      <w:r>
        <w:rPr>
          <w:b w:val="0"/>
        </w:rPr>
        <w:t>Ensino médio  |  2004–2006/2007</w:t>
      </w:r>
    </w:p>
    <w:p>
      <w:pPr>
        <w:spacing w:after="80" w:before="0" w:line="240" w:lineRule="auto"/>
      </w:pPr>
      <w:r>
        <w:rPr>
          <w:b w:val="0"/>
        </w:rPr>
        <w:t>Formação de ensino médio. Há divergência entre os registros históricos quanto ao ano formal de conclusão; a faixa original foi mantida.</w:t>
      </w:r>
    </w:p>
    <w:p>
      <w:pPr>
        <w:pStyle w:val="Heading2"/>
        <w:spacing w:after="80" w:before="140" w:line="240" w:lineRule="auto"/>
      </w:pPr>
      <w:r>
        <w:rPr>
          <w:sz w:val="24"/>
        </w:rPr>
        <w:t>Idiomas</w:t>
      </w:r>
    </w:p>
    <w:p>
      <w:pPr>
        <w:spacing w:after="80" w:before="0" w:line="240" w:lineRule="auto"/>
      </w:pPr>
      <w:r>
        <w:rPr>
          <w:b w:val="0"/>
        </w:rPr>
        <w:t>Português — Nativo. Comunicação executiva, produção técnica e articulação institucional.</w:t>
      </w:r>
    </w:p>
    <w:p>
      <w:pPr>
        <w:spacing w:after="80" w:before="0" w:line="240" w:lineRule="auto"/>
      </w:pPr>
      <w:r>
        <w:rPr>
          <w:b w:val="0"/>
        </w:rPr>
        <w:t>Inglês — B2 · 120 pontos. Duolingo English Test, abril de 2026. Escrita 125; fala, leitura e compreensão auditiva 120.</w:t>
      </w:r>
    </w:p>
    <w:p>
      <w:pPr>
        <w:spacing w:after="80" w:before="0" w:line="240" w:lineRule="auto"/>
      </w:pPr>
      <w:r>
        <w:rPr>
          <w:b w:val="0"/>
        </w:rPr>
        <w:t>Espanhol — Profissional funcional. Compreensão, leitura e comunicação em contextos profissionais.</w:t>
      </w:r>
    </w:p>
    <w:p>
      <w:r>
        <w:br w:type="page"/>
      </w:r>
    </w:p>
    <w:p>
      <w:pPr>
        <w:pStyle w:val="Heading1"/>
      </w:pPr>
      <w:r>
        <w:t>Projetos e realizações</w:t>
      </w:r>
    </w:p>
    <w:p>
      <w:pPr>
        <w:pStyle w:val="Heading2"/>
      </w:pPr>
      <w:r>
        <w:t>A estratégia que sai do plano.</w:t>
      </w:r>
    </w:p>
    <w:p>
      <w:r>
        <w:rPr>
          <w:b/>
        </w:rPr>
        <w:t>ESTRATÉGIA · CAIXA  |  3 ciclos de planejamento e negócios</w:t>
      </w:r>
    </w:p>
    <w:p>
      <w:r>
        <w:rPr>
          <w:b w:val="0"/>
        </w:rPr>
        <w:t>Governança, indicadores e decisões para a execução da estratégia do conglomerado.</w:t>
      </w:r>
    </w:p>
    <w:p>
      <w:pPr>
        <w:pStyle w:val="Heading2"/>
      </w:pPr>
      <w:r>
        <w:t>Mais escala. Menos processos dispersos.</w:t>
      </w:r>
    </w:p>
    <w:p>
      <w:r>
        <w:rPr>
          <w:b/>
        </w:rPr>
        <w:t>TRANSFORMAÇÃO · MTE  |  800+ fiscais no fluxo de provimento</w:t>
      </w:r>
    </w:p>
    <w:p>
      <w:r>
        <w:rPr>
          <w:b w:val="0"/>
        </w:rPr>
        <w:t>Sistema de acompanhamento de nomeação e posse, utilizado por cerca de 60 pessoas.</w:t>
      </w:r>
    </w:p>
    <w:p>
      <w:pPr>
        <w:pStyle w:val="Heading2"/>
      </w:pPr>
      <w:r>
        <w:t>Tecnologia para uma operação real.</w:t>
      </w:r>
    </w:p>
    <w:p>
      <w:r>
        <w:rPr>
          <w:b/>
        </w:rPr>
        <w:t>PRODUTO · RETRATO BRECHÓ  |  15 mil+ SKUs registrados na operação</w:t>
      </w:r>
    </w:p>
    <w:p>
      <w:r>
        <w:rPr>
          <w:b w:val="0"/>
        </w:rPr>
        <w:t>Consignação, pedidos, ledger, créditos, notas fiscais e integrações em uma plataforma própria.</w:t>
      </w:r>
    </w:p>
    <w:p>
      <w:pPr>
        <w:pStyle w:val="Heading2"/>
      </w:pPr>
      <w:r>
        <w:t>Do cálculo ao controle rastreável.</w:t>
      </w:r>
    </w:p>
    <w:p>
      <w:r>
        <w:rPr>
          <w:b/>
        </w:rPr>
        <w:t>AUTOMAÇÃO · MTE  |  Em produção certidão de disponibilidade orçamentária</w:t>
      </w:r>
    </w:p>
    <w:p>
      <w:r>
        <w:rPr>
          <w:b w:val="0"/>
        </w:rPr>
        <w:t>Regras financeiras e documentos organizados em uma aplicação de uso institucional.</w:t>
      </w:r>
    </w:p>
    <w:p>
      <w:pPr>
        <w:pStyle w:val="Heading2"/>
      </w:pPr>
      <w:r>
        <w:t>Transformar números em direção.</w:t>
      </w:r>
    </w:p>
    <w:p>
      <w:r>
        <w:rPr>
          <w:b/>
        </w:rPr>
        <w:t>FP&amp;A · FINANÇAS  |  Planejado × real desempenho e benchmarking</w:t>
      </w:r>
    </w:p>
    <w:p>
      <w:r>
        <w:rPr>
          <w:b w:val="0"/>
        </w:rPr>
        <w:t>Análise de execução, metas e concorrentes para apoiar escolhas da alta administração.</w:t>
      </w:r>
    </w:p>
    <w:p>
      <w:pPr>
        <w:pStyle w:val="Heading2"/>
      </w:pPr>
      <w:r>
        <w:t>Agentes. Evidências. Próximo passo.</w:t>
      </w:r>
    </w:p>
    <w:p>
      <w:r>
        <w:rPr>
          <w:b/>
        </w:rPr>
        <w:t>IA · PROJETO AUTORAL  |  Em desenvolvimento gestão de projetos com agentes</w:t>
      </w:r>
    </w:p>
    <w:p>
      <w:r>
        <w:rPr>
          <w:b w:val="0"/>
        </w:rPr>
        <w:t>Concepção de um MicroSaaS que conecta progresso por evidências e priorização de entregas.</w:t>
      </w:r>
    </w:p>
    <w:p>
      <w:r>
        <w:rPr>
          <w:b w:val="0"/>
        </w:rPr>
        <w:t>O portfólio online reúne o catálogo completo de projetos, responsabilidades detalhadas, cursos, certificados, publicações e registros de fontes.</w:t>
      </w:r>
    </w:p>
    <w:p>
      <w:hyperlink r:id="rId18">
        <w:r>
          <w:rPr>
            <w:color w:val="245C4D"/>
            <w:u w:val="single"/>
          </w:rPr>
          <w:t>thadio.com</w:t>
        </w:r>
      </w:hyperlink>
    </w:p>
    <w:p>
      <w:r>
        <w:br w:type="page"/>
      </w:r>
    </w:p>
    <w:p>
      <w:pPr>
        <w:pStyle w:val="Heading1"/>
      </w:pPr>
      <w:r>
        <w:t>Tecnologia e métodos de trabalho</w:t>
      </w:r>
    </w:p>
    <w:p>
      <w:pPr>
        <w:pStyle w:val="Heading2"/>
      </w:pPr>
      <w:r>
        <w:t>Desenvolvimento web</w:t>
      </w:r>
    </w:p>
    <w:p>
      <w:r>
        <w:rPr>
          <w:b w:val="0"/>
        </w:rPr>
        <w:t>HTML5, CSS, JavaScript, PHP, arquitetura MVC, aplicações responsivas, formulários, autenticação e interfaces administrativas.</w:t>
      </w:r>
    </w:p>
    <w:p>
      <w:pPr>
        <w:pStyle w:val="Heading2"/>
      </w:pPr>
      <w:r>
        <w:t>Programação e automação</w:t>
      </w:r>
    </w:p>
    <w:p>
      <w:r>
        <w:rPr>
          <w:b w:val="0"/>
        </w:rPr>
        <w:t>Python 3, Ruby, Ruby on Rails, Java, Node.js, scripts de automação, geração de documentos e processamento de dados.</w:t>
      </w:r>
    </w:p>
    <w:p>
      <w:pPr>
        <w:pStyle w:val="Heading2"/>
      </w:pPr>
      <w:r>
        <w:t>Dados e bancos</w:t>
      </w:r>
    </w:p>
    <w:p>
      <w:r>
        <w:rPr>
          <w:b w:val="0"/>
        </w:rPr>
        <w:t>SQL, MySQL, PostgreSQL, modelagem relacional, consultas, organização de bases, qualidade de dados e relatórios.</w:t>
      </w:r>
    </w:p>
    <w:p>
      <w:pPr>
        <w:pStyle w:val="Heading2"/>
      </w:pPr>
      <w:r>
        <w:t>Integração e serviços</w:t>
      </w:r>
    </w:p>
    <w:p>
      <w:r>
        <w:rPr>
          <w:b w:val="0"/>
        </w:rPr>
        <w:t>APIs REST, integração de sistemas, JSON, autenticação, certificados digitais e comunicação entre aplicações.</w:t>
      </w:r>
    </w:p>
    <w:p>
      <w:pPr>
        <w:pStyle w:val="Heading2"/>
      </w:pPr>
      <w:r>
        <w:t>Nuvem e DevOps</w:t>
      </w:r>
    </w:p>
    <w:p>
      <w:r>
        <w:rPr>
          <w:b w:val="0"/>
        </w:rPr>
        <w:t>AWS, Docker, Kubernetes, Linux, Git, GitLab, CI/CD, ambientes de desenvolvimento, homologação e produção.</w:t>
      </w:r>
    </w:p>
    <w:p>
      <w:pPr>
        <w:pStyle w:val="Heading2"/>
      </w:pPr>
      <w:r>
        <w:t>BI e produtividade</w:t>
      </w:r>
    </w:p>
    <w:p>
      <w:r>
        <w:rPr>
          <w:b w:val="0"/>
        </w:rPr>
        <w:t>Power BI, Excel avançado, PowerPoint, Word, painéis, indicadores, análises e apresentações executivas.</w:t>
      </w:r>
    </w:p>
    <w:p>
      <w:pPr>
        <w:pStyle w:val="Heading2"/>
      </w:pPr>
      <w:r>
        <w:t>Sistemas corporativos e públicos</w:t>
      </w:r>
    </w:p>
    <w:p>
      <w:r>
        <w:rPr>
          <w:b w:val="0"/>
        </w:rPr>
        <w:t>SAP; SEI; SIAPE; SIGEPE; SIAFI; sistemas internos de gestão de pessoas, riscos, estratégia e operações bancárias.</w:t>
      </w:r>
    </w:p>
    <w:p>
      <w:pPr>
        <w:pStyle w:val="Heading2"/>
      </w:pPr>
      <w:r>
        <w:t>Inteligência artificial e RPA</w:t>
      </w:r>
    </w:p>
    <w:p>
      <w:r>
        <w:rPr>
          <w:b w:val="0"/>
        </w:rPr>
        <w:t>Fundamentos de machine learning, modelos de linguagem, automação robótica de processos, uso de IA generativa e desenho de soluções assistidas.</w:t>
      </w:r>
    </w:p>
    <w:p>
      <w:pPr>
        <w:pStyle w:val="Heading2"/>
      </w:pPr>
      <w:r>
        <w:t>Segurança e identidade</w:t>
      </w:r>
    </w:p>
    <w:p>
      <w:r>
        <w:rPr>
          <w:b w:val="0"/>
        </w:rPr>
        <w:t>Princípios de segurança da informação, ISO/IEC 27001, certificados ICP-Brasil, gestão de acessos, segregação de funções e LGPD.</w:t>
      </w:r>
    </w:p>
    <w:p>
      <w:pPr>
        <w:pStyle w:val="Heading2"/>
      </w:pPr>
      <w:r>
        <w:t>Visualização e experiência</w:t>
      </w:r>
    </w:p>
    <w:p>
      <w:r>
        <w:rPr>
          <w:b w:val="0"/>
        </w:rPr>
        <w:t>D3.js, SVG, arquitetura da informação, UX, desenho de jornadas e prototipação de interfaces.</w:t>
      </w:r>
    </w:p>
    <w:p>
      <w:pPr>
        <w:pStyle w:val="Heading2"/>
      </w:pPr>
      <w:r>
        <w:t>Métodos e frameworks</w:t>
      </w:r>
    </w:p>
    <w:p>
      <w:r>
        <w:rPr>
          <w:b w:val="0"/>
        </w:rPr>
        <w:t>Estratégia · Riscos e controles · Tecnologia e arquitetura · Projetos e agilidade · Processos e melhoria · Inovação e produto · Dados e desempenho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Thádio Robledo  |  Portfólio profissional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ESTRATÉGIA  /  FP&amp;A  /  TRANSFORMAÇÃO DIGITAL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1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2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yperlink" Target="https://www.linkedin.com/in/thadio-robledo-queiroz-oliveira-b8903217/" TargetMode="External"/><Relationship Id="rId12" Type="http://schemas.openxmlformats.org/officeDocument/2006/relationships/hyperlink" Target="https://thadio.com/pt-br.html" TargetMode="External"/><Relationship Id="rId13" Type="http://schemas.openxmlformats.org/officeDocument/2006/relationships/hyperlink" Target="https://ri.caixa.gov.br/" TargetMode="External"/><Relationship Id="rId14" Type="http://schemas.openxmlformats.org/officeDocument/2006/relationships/hyperlink" Target="https://www.itau.com.br/download-file/v2/d/42787847-4cf6-4461-94a5-40ed237dca33/cd566e80-cd88-2a79-2862-6e39caa2f3f9?origin=2" TargetMode="External"/><Relationship Id="rId15" Type="http://schemas.openxmlformats.org/officeDocument/2006/relationships/hyperlink" Target="https://caixanoticias.caixa.gov.br/Paginas/Not%C3%ADcias/2024/02-FEVEREIRO/caixa-tem-lucro-liquido-recorrente-de-r-106-bilhoes-em-2023-e-de-r-29-bilhoes-no-4t23.aspx" TargetMode="External"/><Relationship Id="rId16" Type="http://schemas.openxmlformats.org/officeDocument/2006/relationships/hyperlink" Target="https://caixanoticias.caixa.gov.br/Paginas/Not%C3%ADcias/2025/02-FEVEREIRO/CAIXA-registra-lucro-liquido-recorrente-de-RS-140-bilhoes-em-2024.aspx" TargetMode="External"/><Relationship Id="rId17" Type="http://schemas.openxmlformats.org/officeDocument/2006/relationships/hyperlink" Target="https://caixanoticias.caixa.gov.br/Paginas/Not%C3%ADcias/2026/03-MAR%C3%87O/CAIXA-alcancou-lucro-liquido-recorrente-recorde-de-RS-155-bilhoes-em-2025.aspx" TargetMode="External"/><Relationship Id="rId18" Type="http://schemas.openxmlformats.org/officeDocument/2006/relationships/hyperlink" Target="https://thadi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Thádio Robledo Portfólio Profissional</dc:title>
  <dc:subject>Estratégia, FP&amp;A e transformação digital</dc:subject>
  <dc:creator>Thádio Robledo Queiroz Oliveira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